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3226"/>
        <w:gridCol w:w="2792"/>
      </w:tblGrid>
      <w:tr w:rsidR="000C314D" w:rsidRPr="00AE525D" w14:paraId="2AF411CF" w14:textId="77777777" w:rsidTr="00335B63">
        <w:tc>
          <w:tcPr>
            <w:tcW w:w="1667" w:type="pct"/>
          </w:tcPr>
          <w:p w14:paraId="67676493" w14:textId="77777777" w:rsidR="000C314D" w:rsidRPr="00AE525D" w:rsidRDefault="000C314D" w:rsidP="00335B63">
            <w:pPr>
              <w:pStyle w:val="Vnbnnidung0"/>
              <w:widowControl/>
              <w:adjustRightInd w:val="0"/>
              <w:snapToGrid w:val="0"/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Biểu số</w:t>
            </w:r>
            <w:r w:rsidRPr="00AE525D">
              <w:rPr>
                <w:rFonts w:ascii="Arial" w:hAnsi="Arial" w:cs="Arial"/>
                <w:b/>
                <w:bCs/>
                <w:sz w:val="20"/>
                <w:szCs w:val="20"/>
              </w:rPr>
              <w:t>: 0102.N.TCHC</w:t>
            </w:r>
          </w:p>
          <w:p w14:paraId="048A4F3F" w14:textId="77777777" w:rsidR="000C314D" w:rsidRPr="00AE525D" w:rsidRDefault="000C314D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  <w:i/>
                <w:iCs/>
              </w:rPr>
              <w:t>Kèm theo Thông tư số 18/2025/TT-BNV ngày 08 tháng 10 năm 2025 của Bộ trưởng Bộ Nội vụ</w:t>
            </w:r>
          </w:p>
          <w:p w14:paraId="490ED052" w14:textId="77777777" w:rsidR="000C314D" w:rsidRPr="00AE525D" w:rsidRDefault="000C314D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Ngày nhận báo cáo: Ngày 28 tháng 02 năm sau</w:t>
            </w:r>
          </w:p>
        </w:tc>
        <w:tc>
          <w:tcPr>
            <w:tcW w:w="1786" w:type="pct"/>
          </w:tcPr>
          <w:p w14:paraId="585AA89D" w14:textId="77777777" w:rsidR="000C314D" w:rsidRPr="00AE525D" w:rsidRDefault="000C314D" w:rsidP="00335B63">
            <w:pPr>
              <w:pStyle w:val="Vnbnnidung20"/>
              <w:widowControl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  <w:b/>
                <w:bCs/>
              </w:rPr>
              <w:t>SỐ TỔ CHỨC HÀNH CHÍNH</w:t>
            </w:r>
            <w:r w:rsidRPr="00AE525D">
              <w:rPr>
                <w:rFonts w:ascii="Arial" w:hAnsi="Arial" w:cs="Arial"/>
                <w:b/>
                <w:bCs/>
              </w:rPr>
              <w:br/>
              <w:t>TRONG CÁC CƠ QUAN</w:t>
            </w:r>
            <w:r w:rsidRPr="00AE525D">
              <w:rPr>
                <w:rFonts w:ascii="Arial" w:hAnsi="Arial" w:cs="Arial"/>
                <w:b/>
                <w:bCs/>
              </w:rPr>
              <w:br/>
              <w:t>NHÀ NƯỚC</w:t>
            </w:r>
          </w:p>
          <w:p w14:paraId="29036C2C" w14:textId="77777777" w:rsidR="000C314D" w:rsidRPr="00AE525D" w:rsidRDefault="000C314D" w:rsidP="00335B63">
            <w:pPr>
              <w:pStyle w:val="Vnbnnidung20"/>
              <w:widowControl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Năm...</w:t>
            </w:r>
          </w:p>
          <w:p w14:paraId="0359A55C" w14:textId="77777777" w:rsidR="000C314D" w:rsidRPr="00AE525D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46" w:type="pct"/>
          </w:tcPr>
          <w:p w14:paraId="212977F1" w14:textId="77777777" w:rsidR="000C314D" w:rsidRPr="00AE525D" w:rsidRDefault="000C314D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>Đơn vị báo cáo:</w:t>
            </w:r>
          </w:p>
          <w:p w14:paraId="4EEB10E5" w14:textId="77777777" w:rsidR="000C314D" w:rsidRPr="00AE525D" w:rsidRDefault="000C314D" w:rsidP="00335B63">
            <w:pPr>
              <w:pStyle w:val="Vnbnnidung20"/>
              <w:widowControl/>
              <w:adjustRightInd w:val="0"/>
              <w:snapToGrid w:val="0"/>
              <w:rPr>
                <w:rFonts w:ascii="Arial" w:hAnsi="Arial" w:cs="Arial"/>
              </w:rPr>
            </w:pPr>
            <w:r w:rsidRPr="00AE525D">
              <w:rPr>
                <w:rFonts w:ascii="Arial" w:hAnsi="Arial" w:cs="Arial"/>
              </w:rPr>
              <w:t xml:space="preserve">Đơn vị nhận báo cáo: </w:t>
            </w:r>
            <w:r w:rsidRPr="00307F7C">
              <w:rPr>
                <w:rFonts w:ascii="Arial" w:hAnsi="Arial" w:cs="Arial"/>
              </w:rPr>
              <w:t>Vụ Tổ chức - Biên chế</w:t>
            </w:r>
          </w:p>
        </w:tc>
      </w:tr>
    </w:tbl>
    <w:p w14:paraId="705C0C43" w14:textId="77777777" w:rsidR="000C314D" w:rsidRPr="00AE525D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64F4CEB" w14:textId="77777777" w:rsidR="000C314D" w:rsidRPr="00307F7C" w:rsidRDefault="000C314D" w:rsidP="000C314D">
      <w:pPr>
        <w:widowControl/>
        <w:adjustRightInd w:val="0"/>
        <w:snapToGrid w:val="0"/>
        <w:jc w:val="right"/>
        <w:rPr>
          <w:rFonts w:ascii="Arial" w:hAnsi="Arial" w:cs="Arial"/>
          <w:i/>
          <w:iCs/>
          <w:sz w:val="20"/>
          <w:szCs w:val="20"/>
        </w:rPr>
      </w:pPr>
      <w:r w:rsidRPr="00307F7C">
        <w:rPr>
          <w:rFonts w:ascii="Arial" w:hAnsi="Arial" w:cs="Arial"/>
          <w:i/>
          <w:iCs/>
          <w:sz w:val="20"/>
          <w:szCs w:val="20"/>
        </w:rPr>
        <w:t>Đơn vị tính: S</w:t>
      </w:r>
      <w:r w:rsidRPr="00AE525D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307F7C">
        <w:rPr>
          <w:rFonts w:ascii="Arial" w:hAnsi="Arial" w:cs="Arial"/>
          <w:i/>
          <w:iCs/>
          <w:sz w:val="20"/>
          <w:szCs w:val="20"/>
        </w:rPr>
        <w:t xml:space="preserve"> tổ chức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0"/>
        <w:gridCol w:w="1641"/>
        <w:gridCol w:w="1618"/>
      </w:tblGrid>
      <w:tr w:rsidR="000C314D" w:rsidRPr="00307F7C" w14:paraId="10B58B30" w14:textId="77777777" w:rsidTr="00335B63">
        <w:trPr>
          <w:trHeight w:val="20"/>
          <w:jc w:val="center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6A078" w14:textId="77777777" w:rsidR="000C314D" w:rsidRPr="00307F7C" w:rsidRDefault="000C314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71846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Mã số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B18DC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Số tổ chức</w:t>
            </w:r>
          </w:p>
        </w:tc>
      </w:tr>
      <w:tr w:rsidR="000C314D" w:rsidRPr="00307F7C" w14:paraId="2EC737E9" w14:textId="77777777" w:rsidTr="00335B63">
        <w:trPr>
          <w:trHeight w:val="20"/>
          <w:jc w:val="center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96D0F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989E7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C3842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C314D" w:rsidRPr="00307F7C" w14:paraId="73BB9E9F" w14:textId="77777777" w:rsidTr="00335B63">
        <w:trPr>
          <w:trHeight w:val="20"/>
          <w:jc w:val="center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8A9E8" w14:textId="77777777" w:rsidR="000C314D" w:rsidRPr="00307F7C" w:rsidRDefault="000C314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I. TRUNG ƯƠNG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AEEF6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E50B9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C314D" w:rsidRPr="00307F7C" w14:paraId="09D5E67D" w14:textId="77777777" w:rsidTr="00335B63">
        <w:trPr>
          <w:trHeight w:val="20"/>
          <w:jc w:val="center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13CA8" w14:textId="77777777" w:rsidR="000C314D" w:rsidRPr="00307F7C" w:rsidRDefault="000C314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Tổng số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4105D3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01=02+03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92ED1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14D" w:rsidRPr="00307F7C" w14:paraId="51DC7BF6" w14:textId="77777777" w:rsidTr="00335B63">
        <w:trPr>
          <w:trHeight w:val="20"/>
          <w:jc w:val="center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F805BA" w14:textId="77777777" w:rsidR="000C314D" w:rsidRPr="00307F7C" w:rsidRDefault="000C314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i/>
                <w:iCs/>
                <w:sz w:val="20"/>
                <w:szCs w:val="20"/>
              </w:rPr>
              <w:t>Chia ra: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092E0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F8134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C314D" w:rsidRPr="00307F7C" w14:paraId="4C0BADF4" w14:textId="77777777" w:rsidTr="00335B63">
        <w:trPr>
          <w:trHeight w:val="20"/>
          <w:jc w:val="center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C5E91" w14:textId="77777777" w:rsidR="000C314D" w:rsidRPr="00307F7C" w:rsidRDefault="000C314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i/>
                <w:iCs/>
                <w:sz w:val="20"/>
                <w:szCs w:val="20"/>
              </w:rPr>
              <w:t>-</w:t>
            </w:r>
            <w:r w:rsidRPr="00307F7C">
              <w:rPr>
                <w:rFonts w:ascii="Arial" w:hAnsi="Arial" w:cs="Arial"/>
                <w:sz w:val="20"/>
                <w:szCs w:val="20"/>
              </w:rPr>
              <w:t xml:space="preserve"> Số đơn vị, tổ chức cấp cục, vụ và tương đương trực thuộc bộ, ban, ngành và tương đương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49E1E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2BCA3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14D" w:rsidRPr="00307F7C" w14:paraId="62400498" w14:textId="77777777" w:rsidTr="00335B63">
        <w:trPr>
          <w:trHeight w:val="20"/>
          <w:jc w:val="center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1D4354" w14:textId="77777777" w:rsidR="000C314D" w:rsidRPr="00307F7C" w:rsidRDefault="000C314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- Số đơn vị, tổ chức cấp phòng và tương đương trực thuộc cục và tương đương trực thuộc bộ, ngành và tương đương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CD79D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883AA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14D" w:rsidRPr="00307F7C" w14:paraId="018A51A7" w14:textId="77777777" w:rsidTr="00335B63">
        <w:trPr>
          <w:trHeight w:val="20"/>
          <w:jc w:val="center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D3461" w14:textId="77777777" w:rsidR="000C314D" w:rsidRPr="00307F7C" w:rsidRDefault="000C314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II. ĐỊA PHƯƠNG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F3C11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00EF3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C314D" w:rsidRPr="00307F7C" w14:paraId="44041EAE" w14:textId="77777777" w:rsidTr="00335B63">
        <w:trPr>
          <w:trHeight w:val="20"/>
          <w:jc w:val="center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6B312F" w14:textId="77777777" w:rsidR="000C314D" w:rsidRPr="00307F7C" w:rsidRDefault="000C314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Tổng số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AB6C9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b/>
                <w:bCs/>
                <w:sz w:val="20"/>
                <w:szCs w:val="20"/>
              </w:rPr>
              <w:t>04=05+06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312C7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14D" w:rsidRPr="00307F7C" w14:paraId="4424DBF6" w14:textId="77777777" w:rsidTr="00335B63">
        <w:trPr>
          <w:trHeight w:val="20"/>
          <w:jc w:val="center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9D080" w14:textId="77777777" w:rsidR="000C314D" w:rsidRPr="00307F7C" w:rsidRDefault="000C314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i/>
                <w:iCs/>
                <w:sz w:val="20"/>
                <w:szCs w:val="20"/>
              </w:rPr>
              <w:t>Chia ra: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60AFCB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4CACD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C314D" w:rsidRPr="00307F7C" w14:paraId="689A8929" w14:textId="77777777" w:rsidTr="00335B63">
        <w:trPr>
          <w:trHeight w:val="20"/>
          <w:jc w:val="center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73CC4" w14:textId="77777777" w:rsidR="000C314D" w:rsidRPr="00307F7C" w:rsidRDefault="000C314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 xml:space="preserve">Số đơn vị, tổ chức cấp sở và tương đương trực thuộc Hội đồng nhân dân và </w:t>
            </w:r>
            <w:r w:rsidRPr="00AE525D">
              <w:rPr>
                <w:rFonts w:ascii="Arial" w:hAnsi="Arial" w:cs="Arial"/>
                <w:sz w:val="20"/>
                <w:szCs w:val="20"/>
              </w:rPr>
              <w:t>Ủy</w:t>
            </w:r>
            <w:r w:rsidRPr="00307F7C">
              <w:rPr>
                <w:rFonts w:ascii="Arial" w:hAnsi="Arial" w:cs="Arial"/>
                <w:sz w:val="20"/>
                <w:szCs w:val="20"/>
              </w:rPr>
              <w:t xml:space="preserve"> ban nhân dân cấp tỉnh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30138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2AF43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14D" w:rsidRPr="00307F7C" w14:paraId="33395604" w14:textId="77777777" w:rsidTr="00335B63">
        <w:trPr>
          <w:trHeight w:val="20"/>
          <w:jc w:val="center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8CD26C" w14:textId="77777777" w:rsidR="000C314D" w:rsidRPr="00307F7C" w:rsidRDefault="000C314D" w:rsidP="00335B63">
            <w:pPr>
              <w:widowControl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Số đơn vị, tổ chức cấp phòng và tương đương trực thuộc các sở, ban, ngành và tương đương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713B9F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F7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91A0D" w14:textId="77777777" w:rsidR="000C314D" w:rsidRPr="00307F7C" w:rsidRDefault="000C314D" w:rsidP="00335B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A5A382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  <w:sectPr w:rsidR="000C314D" w:rsidRPr="00307F7C" w:rsidSect="000C314D">
          <w:headerReference w:type="default" r:id="rId6"/>
          <w:pgSz w:w="11909" w:h="16834" w:code="9"/>
          <w:pgMar w:top="1440" w:right="1440" w:bottom="1440" w:left="1440" w:header="0" w:footer="0" w:gutter="0"/>
          <w:pgNumType w:start="2"/>
          <w:cols w:space="720"/>
          <w:noEndnote/>
          <w:docGrid w:linePitch="360"/>
        </w:sectPr>
      </w:pPr>
    </w:p>
    <w:p w14:paraId="227E73B7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b/>
          <w:bCs/>
          <w:sz w:val="20"/>
          <w:szCs w:val="20"/>
        </w:rPr>
        <w:lastRenderedPageBreak/>
        <w:t>Biểu số: 0102.N.TCHC Số tổ chức hành chính trong các cơ quan nhà nước</w:t>
      </w:r>
    </w:p>
    <w:p w14:paraId="682A03E0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bookmark103"/>
      <w:bookmarkStart w:id="1" w:name="bookmark101"/>
      <w:bookmarkStart w:id="2" w:name="bookmark102"/>
      <w:bookmarkStart w:id="3" w:name="bookmark104"/>
      <w:bookmarkEnd w:id="0"/>
      <w:r w:rsidRPr="00AE525D">
        <w:rPr>
          <w:rFonts w:ascii="Arial" w:hAnsi="Arial" w:cs="Arial"/>
          <w:b/>
          <w:bCs/>
          <w:sz w:val="20"/>
          <w:szCs w:val="20"/>
          <w:lang w:val="en-US"/>
        </w:rPr>
        <w:t xml:space="preserve">1. </w:t>
      </w:r>
      <w:r w:rsidRPr="00307F7C">
        <w:rPr>
          <w:rFonts w:ascii="Arial" w:hAnsi="Arial" w:cs="Arial"/>
          <w:b/>
          <w:bCs/>
          <w:sz w:val="20"/>
          <w:szCs w:val="20"/>
        </w:rPr>
        <w:t>Khái niệm, phương pháp tính</w:t>
      </w:r>
      <w:bookmarkEnd w:id="1"/>
      <w:bookmarkEnd w:id="2"/>
      <w:bookmarkEnd w:id="3"/>
    </w:p>
    <w:p w14:paraId="2EE3A4C2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sz w:val="20"/>
          <w:szCs w:val="20"/>
        </w:rPr>
        <w:t>Số tổ chức hành chính trong các cơ quan nhà nước gồm:</w:t>
      </w:r>
    </w:p>
    <w:p w14:paraId="6E346E08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bookmarkStart w:id="4" w:name="bookmark105"/>
      <w:bookmarkEnd w:id="4"/>
      <w:r w:rsidRPr="00AE525D">
        <w:rPr>
          <w:rFonts w:ascii="Arial" w:hAnsi="Arial" w:cs="Arial"/>
          <w:sz w:val="20"/>
          <w:szCs w:val="20"/>
          <w:lang w:val="en-US"/>
        </w:rPr>
        <w:t xml:space="preserve">- </w:t>
      </w:r>
      <w:r w:rsidRPr="00307F7C">
        <w:rPr>
          <w:rFonts w:ascii="Arial" w:hAnsi="Arial" w:cs="Arial"/>
          <w:sz w:val="20"/>
          <w:szCs w:val="20"/>
        </w:rPr>
        <w:t>Ở các Bộ, ngành, cơ quan Trung ương:</w:t>
      </w:r>
    </w:p>
    <w:p w14:paraId="6C6E14A7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sz w:val="20"/>
          <w:szCs w:val="20"/>
        </w:rPr>
        <w:t>+ Số đơn vị, tổ chức cấp cục, vụ và tương đương trực thuộc bộ, ban, ngành và tương đương;</w:t>
      </w:r>
    </w:p>
    <w:p w14:paraId="561B2C4C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sz w:val="20"/>
          <w:szCs w:val="20"/>
        </w:rPr>
        <w:t>+ Số đơn vị, tổ chức cấp phòng và tương đương trực thuộc cục và tương đương trực thuộc bộ, ngành và tương đương;</w:t>
      </w:r>
    </w:p>
    <w:p w14:paraId="6B7F5385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bookmarkStart w:id="5" w:name="bookmark106"/>
      <w:bookmarkEnd w:id="5"/>
      <w:r w:rsidRPr="00AE525D">
        <w:rPr>
          <w:rFonts w:ascii="Arial" w:hAnsi="Arial" w:cs="Arial"/>
          <w:sz w:val="20"/>
          <w:szCs w:val="20"/>
          <w:lang w:val="en-US"/>
        </w:rPr>
        <w:t xml:space="preserve">- </w:t>
      </w:r>
      <w:r w:rsidRPr="00307F7C">
        <w:rPr>
          <w:rFonts w:ascii="Arial" w:hAnsi="Arial" w:cs="Arial"/>
          <w:sz w:val="20"/>
          <w:szCs w:val="20"/>
        </w:rPr>
        <w:t>Ở địa phương</w:t>
      </w:r>
    </w:p>
    <w:p w14:paraId="0EB41572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sz w:val="20"/>
          <w:szCs w:val="20"/>
        </w:rPr>
        <w:t xml:space="preserve">+ Số đơn vị, tổ chức cấp sở và tương đương trực thuộc Hội đồng nhân dân và </w:t>
      </w:r>
      <w:r w:rsidRPr="00AE525D">
        <w:rPr>
          <w:rFonts w:ascii="Arial" w:hAnsi="Arial" w:cs="Arial"/>
          <w:sz w:val="20"/>
          <w:szCs w:val="20"/>
        </w:rPr>
        <w:t>Ủy</w:t>
      </w:r>
      <w:r w:rsidRPr="00307F7C">
        <w:rPr>
          <w:rFonts w:ascii="Arial" w:hAnsi="Arial" w:cs="Arial"/>
          <w:sz w:val="20"/>
          <w:szCs w:val="20"/>
        </w:rPr>
        <w:t xml:space="preserve"> ban nhân dân cấp tỉnh;</w:t>
      </w:r>
    </w:p>
    <w:p w14:paraId="2DA78145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sz w:val="20"/>
          <w:szCs w:val="20"/>
        </w:rPr>
        <w:t>+ Số đơn vị, tổ chức cấp phòng và tương đương trực thuộc các sở, ban, ngành và tương đương;</w:t>
      </w:r>
    </w:p>
    <w:p w14:paraId="0E16F927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sz w:val="20"/>
          <w:szCs w:val="20"/>
        </w:rPr>
        <w:t>Số tổ chức hành chính trong các cơ quan nhà nước là số các tổ chức hành chính hiện có đến thời điểm thống kê trong các cơ quan cả nước.</w:t>
      </w:r>
    </w:p>
    <w:p w14:paraId="226112C7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  <w:bookmarkStart w:id="6" w:name="bookmark109"/>
      <w:bookmarkStart w:id="7" w:name="bookmark107"/>
      <w:bookmarkStart w:id="8" w:name="bookmark108"/>
      <w:bookmarkStart w:id="9" w:name="bookmark110"/>
      <w:bookmarkEnd w:id="6"/>
      <w:r w:rsidRPr="00AE525D">
        <w:rPr>
          <w:rFonts w:ascii="Arial" w:hAnsi="Arial" w:cs="Arial"/>
          <w:b/>
          <w:bCs/>
          <w:sz w:val="20"/>
          <w:szCs w:val="20"/>
          <w:lang w:val="en-US"/>
        </w:rPr>
        <w:t xml:space="preserve">2. </w:t>
      </w:r>
      <w:r w:rsidRPr="00307F7C">
        <w:rPr>
          <w:rFonts w:ascii="Arial" w:hAnsi="Arial" w:cs="Arial"/>
          <w:b/>
          <w:bCs/>
          <w:sz w:val="20"/>
          <w:szCs w:val="20"/>
        </w:rPr>
        <w:t>Cách ghi biểu</w:t>
      </w:r>
      <w:bookmarkEnd w:id="7"/>
      <w:bookmarkEnd w:id="8"/>
      <w:bookmarkEnd w:id="9"/>
    </w:p>
    <w:p w14:paraId="011A2C52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r w:rsidRPr="00307F7C">
        <w:rPr>
          <w:rFonts w:ascii="Arial" w:hAnsi="Arial" w:cs="Arial"/>
          <w:sz w:val="20"/>
          <w:szCs w:val="20"/>
        </w:rPr>
        <w:t>Cột 1: Ghi tổng số tổ chức tương ứng với các dòng của cột A.</w:t>
      </w:r>
    </w:p>
    <w:p w14:paraId="6422F8F7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  <w:bookmarkStart w:id="10" w:name="bookmark113"/>
      <w:bookmarkStart w:id="11" w:name="bookmark111"/>
      <w:bookmarkStart w:id="12" w:name="bookmark112"/>
      <w:bookmarkStart w:id="13" w:name="bookmark114"/>
      <w:bookmarkEnd w:id="10"/>
      <w:r w:rsidRPr="00AE525D">
        <w:rPr>
          <w:rFonts w:ascii="Arial" w:hAnsi="Arial" w:cs="Arial"/>
          <w:b/>
          <w:bCs/>
          <w:sz w:val="20"/>
          <w:szCs w:val="20"/>
          <w:lang w:val="en-US"/>
        </w:rPr>
        <w:t xml:space="preserve">3. </w:t>
      </w:r>
      <w:r w:rsidRPr="00307F7C">
        <w:rPr>
          <w:rFonts w:ascii="Arial" w:hAnsi="Arial" w:cs="Arial"/>
          <w:b/>
          <w:bCs/>
          <w:sz w:val="20"/>
          <w:szCs w:val="20"/>
        </w:rPr>
        <w:t>Nguồn số liệu</w:t>
      </w:r>
      <w:bookmarkEnd w:id="11"/>
      <w:bookmarkEnd w:id="12"/>
      <w:bookmarkEnd w:id="13"/>
    </w:p>
    <w:p w14:paraId="2CB5F7E5" w14:textId="77777777" w:rsidR="000C314D" w:rsidRPr="00307F7C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bookmarkStart w:id="14" w:name="bookmark115"/>
      <w:bookmarkEnd w:id="14"/>
      <w:r w:rsidRPr="00AE525D">
        <w:rPr>
          <w:rFonts w:ascii="Arial" w:hAnsi="Arial" w:cs="Arial"/>
          <w:sz w:val="20"/>
          <w:szCs w:val="20"/>
          <w:lang w:val="en-US"/>
        </w:rPr>
        <w:t xml:space="preserve">- </w:t>
      </w:r>
      <w:r w:rsidRPr="00307F7C">
        <w:rPr>
          <w:rFonts w:ascii="Arial" w:hAnsi="Arial" w:cs="Arial"/>
          <w:sz w:val="20"/>
          <w:szCs w:val="20"/>
        </w:rPr>
        <w:t>Chế độ báo cáo thống kê ngành Nội vụ.</w:t>
      </w:r>
    </w:p>
    <w:p w14:paraId="5CBE3295" w14:textId="5BF3DB2A" w:rsidR="004941F4" w:rsidRDefault="000C314D" w:rsidP="000C314D">
      <w:pPr>
        <w:adjustRightInd w:val="0"/>
        <w:snapToGrid w:val="0"/>
        <w:spacing w:after="120"/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bookmarkStart w:id="15" w:name="bookmark116"/>
      <w:bookmarkEnd w:id="15"/>
      <w:r w:rsidRPr="00AE525D">
        <w:rPr>
          <w:rFonts w:ascii="Arial" w:hAnsi="Arial" w:cs="Arial"/>
          <w:sz w:val="20"/>
          <w:szCs w:val="20"/>
          <w:lang w:val="en-US"/>
        </w:rPr>
        <w:t xml:space="preserve">- </w:t>
      </w:r>
      <w:r w:rsidRPr="00307F7C">
        <w:rPr>
          <w:rFonts w:ascii="Arial" w:hAnsi="Arial" w:cs="Arial"/>
          <w:sz w:val="20"/>
          <w:szCs w:val="20"/>
        </w:rPr>
        <w:t>Sử dụng dữ liệu hành chính.</w:t>
      </w:r>
    </w:p>
    <w:p w14:paraId="3752BE16" w14:textId="77777777" w:rsidR="000C314D" w:rsidRPr="000C314D" w:rsidRDefault="000C314D" w:rsidP="000C314D">
      <w:pPr>
        <w:rPr>
          <w:lang w:val="en-US"/>
        </w:rPr>
      </w:pPr>
    </w:p>
    <w:sectPr w:rsidR="000C314D" w:rsidRPr="000C314D" w:rsidSect="000C314D">
      <w:headerReference w:type="default" r:id="rId7"/>
      <w:pgSz w:w="11906" w:h="16838" w:code="9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BD140" w14:textId="77777777" w:rsidR="00AA62E9" w:rsidRDefault="00AA62E9" w:rsidP="00781581">
      <w:r>
        <w:separator/>
      </w:r>
    </w:p>
  </w:endnote>
  <w:endnote w:type="continuationSeparator" w:id="0">
    <w:p w14:paraId="16C01600" w14:textId="77777777" w:rsidR="00AA62E9" w:rsidRDefault="00AA62E9" w:rsidP="0078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61597" w14:textId="77777777" w:rsidR="00AA62E9" w:rsidRDefault="00AA62E9" w:rsidP="00781581">
      <w:r>
        <w:separator/>
      </w:r>
    </w:p>
  </w:footnote>
  <w:footnote w:type="continuationSeparator" w:id="0">
    <w:p w14:paraId="2A2F7C02" w14:textId="77777777" w:rsidR="00AA62E9" w:rsidRDefault="00AA62E9" w:rsidP="00781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BC555" w14:textId="77777777" w:rsidR="000C314D" w:rsidRDefault="000C314D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055BB" w14:textId="77777777" w:rsidR="004941F4" w:rsidRDefault="004941F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81"/>
    <w:rsid w:val="000C314D"/>
    <w:rsid w:val="00225B67"/>
    <w:rsid w:val="003E1C24"/>
    <w:rsid w:val="004941F4"/>
    <w:rsid w:val="00556DE7"/>
    <w:rsid w:val="00781581"/>
    <w:rsid w:val="00987B06"/>
    <w:rsid w:val="00AA62E9"/>
    <w:rsid w:val="00E56B74"/>
    <w:rsid w:val="00EF342C"/>
    <w:rsid w:val="00F13187"/>
    <w:rsid w:val="00FD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583C"/>
  <w15:chartTrackingRefBased/>
  <w15:docId w15:val="{5FA6188F-486D-4D3F-B24D-FC466DA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581"/>
    <w:pPr>
      <w:widowControl w:val="0"/>
      <w:spacing w:after="0"/>
    </w:pPr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1581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581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US" w:eastAsia="en-US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0"/>
      <w:szCs w:val="22"/>
      <w:lang w:val="en-US" w:eastAsia="en-US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1581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sz w:val="20"/>
      <w:szCs w:val="22"/>
      <w:lang w:val="en-US" w:eastAsia="en-US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1581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0"/>
      <w:szCs w:val="22"/>
      <w:lang w:val="en-US" w:eastAsia="en-US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1581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0"/>
      <w:szCs w:val="22"/>
      <w:lang w:val="en-US" w:eastAsia="en-US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1581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0"/>
      <w:szCs w:val="22"/>
      <w:lang w:val="en-US" w:eastAsia="en-US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1581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sz w:val="20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15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158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158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158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158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158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158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1581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1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1581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158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1581"/>
    <w:pPr>
      <w:widowControl/>
      <w:spacing w:before="160" w:after="160"/>
      <w:jc w:val="center"/>
    </w:pPr>
    <w:rPr>
      <w:rFonts w:ascii="Arial" w:eastAsiaTheme="minorHAnsi" w:hAnsi="Arial" w:cstheme="minorBidi"/>
      <w:i/>
      <w:iCs/>
      <w:color w:val="404040" w:themeColor="text1" w:themeTint="BF"/>
      <w:sz w:val="20"/>
      <w:szCs w:val="22"/>
      <w:lang w:val="en-US" w:eastAsia="en-US" w:bidi="ar-SA"/>
    </w:rPr>
  </w:style>
  <w:style w:type="character" w:customStyle="1" w:styleId="QuoteChar">
    <w:name w:val="Quote Char"/>
    <w:basedOn w:val="DefaultParagraphFont"/>
    <w:link w:val="Quote"/>
    <w:uiPriority w:val="29"/>
    <w:rsid w:val="00781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1581"/>
    <w:pPr>
      <w:widowControl/>
      <w:spacing w:after="120"/>
      <w:ind w:left="720"/>
      <w:contextualSpacing/>
    </w:pPr>
    <w:rPr>
      <w:rFonts w:ascii="Arial" w:eastAsiaTheme="minorHAnsi" w:hAnsi="Arial" w:cstheme="minorBidi"/>
      <w:color w:val="auto"/>
      <w:sz w:val="20"/>
      <w:szCs w:val="22"/>
      <w:lang w:val="en-US" w:eastAsia="en-US" w:bidi="ar-SA"/>
    </w:rPr>
  </w:style>
  <w:style w:type="character" w:styleId="IntenseEmphasis">
    <w:name w:val="Intense Emphasis"/>
    <w:basedOn w:val="DefaultParagraphFont"/>
    <w:uiPriority w:val="21"/>
    <w:qFormat/>
    <w:rsid w:val="0078158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158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Arial" w:eastAsiaTheme="minorHAnsi" w:hAnsi="Arial" w:cstheme="minorBidi"/>
      <w:i/>
      <w:iCs/>
      <w:color w:val="2F5496" w:themeColor="accent1" w:themeShade="BF"/>
      <w:sz w:val="20"/>
      <w:szCs w:val="22"/>
      <w:lang w:val="en-US" w:eastAsia="en-US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158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1581"/>
    <w:rPr>
      <w:b/>
      <w:bCs/>
      <w:smallCaps/>
      <w:color w:val="2F5496" w:themeColor="accent1" w:themeShade="BF"/>
      <w:spacing w:val="5"/>
    </w:rPr>
  </w:style>
  <w:style w:type="character" w:customStyle="1" w:styleId="Vnbnnidung">
    <w:name w:val="Văn bản nội dung_"/>
    <w:basedOn w:val="DefaultParagraphFont"/>
    <w:link w:val="Vnbnnidung0"/>
    <w:rsid w:val="00781581"/>
    <w:rPr>
      <w:rFonts w:ascii="Times New Roman" w:eastAsia="Times New Roman" w:hAnsi="Times New Roman" w:cs="Times New Roman"/>
      <w:sz w:val="26"/>
      <w:szCs w:val="26"/>
    </w:rPr>
  </w:style>
  <w:style w:type="character" w:customStyle="1" w:styleId="Vnbnnidung2">
    <w:name w:val="Văn bản nội dung (2)_"/>
    <w:basedOn w:val="DefaultParagraphFont"/>
    <w:link w:val="Vnbnnidung20"/>
    <w:rsid w:val="00781581"/>
    <w:rPr>
      <w:rFonts w:ascii="Times New Roman" w:eastAsia="Times New Roman" w:hAnsi="Times New Roman" w:cs="Times New Roman"/>
      <w:szCs w:val="20"/>
    </w:rPr>
  </w:style>
  <w:style w:type="paragraph" w:customStyle="1" w:styleId="Vnbnnidung0">
    <w:name w:val="Văn bản nội dung"/>
    <w:basedOn w:val="Normal"/>
    <w:link w:val="Vnbnnidung"/>
    <w:rsid w:val="00781581"/>
    <w:pPr>
      <w:spacing w:after="40" w:line="26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paragraph" w:customStyle="1" w:styleId="Vnbnnidung20">
    <w:name w:val="Văn bản nội dung (2)"/>
    <w:basedOn w:val="Normal"/>
    <w:link w:val="Vnbnnidung2"/>
    <w:rsid w:val="00781581"/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table" w:styleId="TableGrid">
    <w:name w:val="Table Grid"/>
    <w:basedOn w:val="TableNormal"/>
    <w:uiPriority w:val="39"/>
    <w:rsid w:val="00781581"/>
    <w:pPr>
      <w:widowControl w:val="0"/>
      <w:spacing w:after="0"/>
    </w:pPr>
    <w:rPr>
      <w:rFonts w:ascii="Courier New" w:eastAsia="Courier New" w:hAnsi="Courier New" w:cs="Courier New"/>
      <w:sz w:val="24"/>
      <w:szCs w:val="24"/>
      <w:lang w:val="vi-VN"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7815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81"/>
    <w:rPr>
      <w:rFonts w:ascii="Courier New" w:eastAsia="Courier New" w:hAnsi="Courier New" w:cs="Courier New"/>
      <w:color w:val="000000"/>
      <w:sz w:val="24"/>
      <w:szCs w:val="24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2025-10-10T13:21:00Z</dcterms:created>
  <dcterms:modified xsi:type="dcterms:W3CDTF">2025-10-10T13:21:00Z</dcterms:modified>
</cp:coreProperties>
</file>